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51"/>
        <w:tblpPr w:leftFromText="180" w:rightFromText="180" w:vertAnchor="page" w:horzAnchor="margin" w:tblpY="2053"/>
        <w:tblW w:w="9681" w:type="dxa"/>
        <w:tblInd w:w="0" w:type="dxa"/>
        <w:tblLook w:val="04A0" w:firstRow="1" w:lastRow="0" w:firstColumn="1" w:lastColumn="0" w:noHBand="0" w:noVBand="1"/>
      </w:tblPr>
      <w:tblGrid>
        <w:gridCol w:w="1203"/>
        <w:gridCol w:w="1025"/>
        <w:gridCol w:w="902"/>
        <w:gridCol w:w="960"/>
        <w:gridCol w:w="979"/>
        <w:gridCol w:w="979"/>
        <w:gridCol w:w="960"/>
        <w:gridCol w:w="960"/>
        <w:gridCol w:w="902"/>
        <w:gridCol w:w="902"/>
      </w:tblGrid>
      <w:tr w:rsidR="00B45417" w:rsidRPr="00B45417" w:rsidTr="003449D5">
        <w:trPr>
          <w:trHeight w:val="47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Substance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2024</w:t>
            </w:r>
          </w:p>
        </w:tc>
      </w:tr>
      <w:tr w:rsidR="00B45417" w:rsidRPr="00B45417" w:rsidTr="003449D5">
        <w:trPr>
          <w:trHeight w:val="47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B45417" w:rsidRDefault="00FB3DE6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HCFC-22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B4541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 xml:space="preserve"> 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B4541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 xml:space="preserve"> 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B4541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B4541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F5749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Cs/>
                <w:color w:val="FF0000"/>
                <w:sz w:val="18"/>
                <w:szCs w:val="18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Cs/>
                <w:color w:val="FF0000"/>
                <w:sz w:val="18"/>
                <w:szCs w:val="18"/>
                <w:lang w:val="en-US" w:eastAsia="nb-NO"/>
              </w:rPr>
              <w:t>10,10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F5749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  <w:t>9,85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F5749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  <w:t>8,79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F5749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  <w:t>5,90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E6" w:rsidRPr="00F5749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val="en-US" w:eastAsia="nb-NO"/>
              </w:rPr>
              <w:t>6,53</w:t>
            </w:r>
          </w:p>
        </w:tc>
      </w:tr>
      <w:tr w:rsidR="00B45417" w:rsidRPr="00B45417" w:rsidTr="003449D5">
        <w:trPr>
          <w:trHeight w:val="33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0,0927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0,0810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2,6668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3,7064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2,6430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7,1484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18,0000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12,5687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R-134A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39,7370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41,2441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91,8709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77,3600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60,4149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53,3937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56,8852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90,7500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127,0194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R-404A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25,4398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28,1025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45,6061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41,6084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35,4283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40,7163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69,2211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23,4000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26,4589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R-407C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4,4148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9,9362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16,5473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11,2250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10,3522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9,4671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7,2898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5,9900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3,9550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R-407F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0,8362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R-410A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6,7390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8,7085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33,2376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15,5118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14,7586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20,1007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18,9511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16,6200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 w:rsidP="005C5D79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21,2976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R-422D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1,3014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3,5867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2,9000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3,1854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1,5680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1,8769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1,1300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1,13000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R-448A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0,8000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0,1000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R-449A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0,9000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0,6650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R-507A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22,6331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28,1663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33,9298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17,8616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26,0731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25,3328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41,8205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18,9800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16,3285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R-508B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R-227ea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0,9600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17,0995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20,7666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10,1357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15,9982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13,6773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28,0000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F10B3B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highlight w:val="yellow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4,1142</w:t>
            </w:r>
          </w:p>
        </w:tc>
      </w:tr>
      <w:tr w:rsidR="00B45417" w:rsidRPr="00B45417" w:rsidTr="003449D5">
        <w:trPr>
          <w:trHeight w:val="21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R-452A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0,0000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1,4700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sz w:val="18"/>
                <w:szCs w:val="18"/>
                <w:lang w:val="en-US" w:eastAsia="nb-NO"/>
              </w:rPr>
              <w:t>1,1300</w:t>
            </w:r>
          </w:p>
        </w:tc>
      </w:tr>
      <w:tr w:rsidR="00B45417" w:rsidRPr="00F57497" w:rsidTr="003449D5">
        <w:trPr>
          <w:trHeight w:val="337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TOTAL: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99,9287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119,5040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241,9589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189,9010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164,0556</w:t>
            </w:r>
          </w:p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170,1205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9D5" w:rsidRPr="00B45417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216,9720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Default="003449D5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B4541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205,2400</w:t>
            </w:r>
          </w:p>
          <w:p w:rsidR="00F57497" w:rsidRPr="00F57497" w:rsidRDefault="00F57497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24"/>
                <w:szCs w:val="24"/>
                <w:u w:val="single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/>
                <w:bCs/>
                <w:sz w:val="24"/>
                <w:szCs w:val="24"/>
                <w:u w:val="single"/>
                <w:lang w:val="en-US" w:eastAsia="nb-NO"/>
              </w:rPr>
              <w:t>211,14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D5" w:rsidRPr="00F57497" w:rsidRDefault="003449D5" w:rsidP="00F10B3B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  <w:r w:rsidRPr="00F5749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2</w:t>
            </w:r>
            <w:r w:rsidR="00F10B3B" w:rsidRPr="00F57497"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  <w:t>15,5300</w:t>
            </w:r>
          </w:p>
          <w:p w:rsidR="00F57497" w:rsidRPr="00F57497" w:rsidRDefault="00F57497" w:rsidP="00F10B3B">
            <w:pPr>
              <w:tabs>
                <w:tab w:val="left" w:pos="567"/>
              </w:tabs>
              <w:spacing w:before="120" w:after="12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val="en-US" w:eastAsia="nb-NO"/>
              </w:rPr>
            </w:pPr>
          </w:p>
        </w:tc>
      </w:tr>
    </w:tbl>
    <w:p w:rsidR="006D7140" w:rsidRPr="00B45417" w:rsidRDefault="006E4CE3" w:rsidP="006E4CE3">
      <w:pPr>
        <w:jc w:val="center"/>
        <w:rPr>
          <w:sz w:val="28"/>
          <w:szCs w:val="28"/>
        </w:rPr>
      </w:pPr>
      <w:r w:rsidRPr="00B45417">
        <w:rPr>
          <w:sz w:val="28"/>
          <w:szCs w:val="28"/>
        </w:rPr>
        <w:t xml:space="preserve">Import/consum </w:t>
      </w:r>
      <w:r w:rsidR="00B45417" w:rsidRPr="00B45417">
        <w:rPr>
          <w:sz w:val="28"/>
          <w:szCs w:val="28"/>
        </w:rPr>
        <w:t>–</w:t>
      </w:r>
      <w:r w:rsidRPr="00B45417">
        <w:rPr>
          <w:sz w:val="28"/>
          <w:szCs w:val="28"/>
        </w:rPr>
        <w:t xml:space="preserve"> </w:t>
      </w:r>
      <w:r w:rsidR="00B45417" w:rsidRPr="00B45417">
        <w:rPr>
          <w:sz w:val="28"/>
          <w:szCs w:val="28"/>
        </w:rPr>
        <w:t>(2016-</w:t>
      </w:r>
      <w:r w:rsidRPr="00B45417">
        <w:rPr>
          <w:sz w:val="28"/>
          <w:szCs w:val="28"/>
        </w:rPr>
        <w:t xml:space="preserve"> 2024</w:t>
      </w:r>
      <w:r w:rsidR="00B45417" w:rsidRPr="00B45417">
        <w:rPr>
          <w:sz w:val="28"/>
          <w:szCs w:val="28"/>
        </w:rPr>
        <w:t>)</w:t>
      </w:r>
    </w:p>
    <w:p w:rsidR="00A665F8" w:rsidRPr="00A665F8" w:rsidRDefault="00A665F8" w:rsidP="00A665F8">
      <w:pPr>
        <w:spacing w:before="240"/>
        <w:jc w:val="left"/>
        <w:rPr>
          <w:rFonts w:eastAsia="Times New Roman"/>
          <w:b/>
          <w:bCs/>
          <w:i/>
          <w:iCs/>
          <w:lang w:val="en-GB" w:eastAsia="en-GB"/>
        </w:rPr>
      </w:pPr>
      <w:r w:rsidRPr="00A665F8">
        <w:rPr>
          <w:rFonts w:eastAsia="Times New Roman"/>
          <w:b/>
          <w:bCs/>
          <w:lang w:val="en-GB" w:eastAsia="en-GB"/>
        </w:rPr>
        <w:t xml:space="preserve">Table </w:t>
      </w:r>
      <w:r>
        <w:rPr>
          <w:rFonts w:eastAsia="Times New Roman"/>
          <w:b/>
          <w:bCs/>
          <w:lang w:val="en-GB" w:eastAsia="en-GB"/>
        </w:rPr>
        <w:t>1.</w:t>
      </w:r>
      <w:r w:rsidRPr="00A665F8">
        <w:rPr>
          <w:rFonts w:eastAsia="Times New Roman"/>
          <w:b/>
          <w:bCs/>
          <w:lang w:val="en-GB" w:eastAsia="en-GB"/>
        </w:rPr>
        <w:t>: HFC/blend consumption by refrigerant (in metric tonnes)</w:t>
      </w:r>
      <w:bookmarkStart w:id="0" w:name="_GoBack"/>
    </w:p>
    <w:p w:rsidR="006D7140" w:rsidRPr="00A665F8" w:rsidRDefault="006D7140" w:rsidP="006D7140">
      <w:pPr>
        <w:rPr>
          <w:lang w:val="en-GB"/>
        </w:rPr>
      </w:pPr>
    </w:p>
    <w:bookmarkEnd w:id="0"/>
    <w:p w:rsidR="006D7140" w:rsidRPr="006D7140" w:rsidRDefault="006D7140" w:rsidP="006D7140"/>
    <w:tbl>
      <w:tblPr>
        <w:tblStyle w:val="15"/>
        <w:tblpPr w:leftFromText="180" w:rightFromText="180" w:vertAnchor="page" w:horzAnchor="margin" w:tblpY="1849"/>
        <w:tblW w:w="9614" w:type="dxa"/>
        <w:tblInd w:w="0" w:type="dxa"/>
        <w:tblLook w:val="04A0" w:firstRow="1" w:lastRow="0" w:firstColumn="1" w:lastColumn="0" w:noHBand="0" w:noVBand="1"/>
      </w:tblPr>
      <w:tblGrid>
        <w:gridCol w:w="980"/>
        <w:gridCol w:w="950"/>
        <w:gridCol w:w="950"/>
        <w:gridCol w:w="950"/>
        <w:gridCol w:w="950"/>
        <w:gridCol w:w="950"/>
        <w:gridCol w:w="950"/>
        <w:gridCol w:w="950"/>
        <w:gridCol w:w="951"/>
        <w:gridCol w:w="1033"/>
      </w:tblGrid>
      <w:tr w:rsidR="006D7140" w:rsidRPr="006D7140" w:rsidTr="006D7140">
        <w:trPr>
          <w:trHeight w:val="39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lastRenderedPageBreak/>
              <w:t>Substance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2023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lang w:eastAsia="nb-NO"/>
              </w:rPr>
              <w:t>2024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0,074.0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0,011.8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0,014.8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1,371.9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0,025.2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0</w:t>
            </w:r>
          </w:p>
        </w:tc>
      </w:tr>
      <w:tr w:rsidR="006D7140" w:rsidRPr="006D7140" w:rsidTr="006D7140">
        <w:trPr>
          <w:trHeight w:val="39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0,030.4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0,054.7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1,800.1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2,501.8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1,784.0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4,825.2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12,150.0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8,438.8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R-134A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56,823.9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58,979.1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131,374.1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110,624.8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86,393.3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76,353.0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81,345.8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129,772.5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181,637.7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R-404A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99,774.9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110,218.0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178,867.1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163,188.1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138,949.8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159,689.3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271,485.2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91,775.0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103,771.8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R-407C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7,832.0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17,627.0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28,858.5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19,913.2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18,365.0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16,794.6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12,932.1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10,626.3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7,016.1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R-407F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BD5821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BD5821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1,525.2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R-410A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14,071.0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18,183.3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69,400.1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32,388.6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30,816.0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41,970.3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39,570.0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34,702.6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44,469.3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R-422D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3,552.0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9,788.1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7,914.1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8,693.0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4,279.1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5,122.0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3,083.8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3,083.8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R-448A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1,109.6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0,138.7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0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R-449A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1,257.3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0,929.0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R-507A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90,193.0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122,242.7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135,210.3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71,178.5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103,901.3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100,951.2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166,654.7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75,635.3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65,069.0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R-508B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0,020.0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0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R-227ea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3,091.2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6,440.0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55,060.4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66,868.5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32,637.0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51,514.2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44,041.0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062494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062494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90,160.0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F10B3B" w:rsidP="00F10B3B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F10B3B">
              <w:rPr>
                <w:rFonts w:ascii="Calibri" w:eastAsia="Times New Roman" w:hAnsi="Calibri"/>
                <w:color w:val="FF0000"/>
                <w:sz w:val="18"/>
                <w:szCs w:val="18"/>
                <w:highlight w:val="yellow"/>
                <w:lang w:eastAsia="nb-NO"/>
              </w:rPr>
              <w:t>13,248.0</w:t>
            </w:r>
            <w:r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D7140" w:rsidRPr="006D7140" w:rsidTr="006D7140">
        <w:trPr>
          <w:trHeight w:val="2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R-452A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sz w:val="18"/>
                <w:szCs w:val="18"/>
                <w:lang w:eastAsia="nb-NO"/>
              </w:rPr>
              <w:t>3,145.8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color w:val="FF0000"/>
                <w:sz w:val="18"/>
                <w:szCs w:val="18"/>
                <w:lang w:eastAsia="nb-NO"/>
              </w:rPr>
              <w:t>2,418.2</w:t>
            </w:r>
          </w:p>
        </w:tc>
      </w:tr>
      <w:tr w:rsidR="006D7140" w:rsidRPr="00F10B3B" w:rsidTr="006D7140">
        <w:trPr>
          <w:trHeight w:val="38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TOTAL: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217,860.0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337,546.1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608,613.3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473,887.7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422,272.2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455,836.9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626,140.0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40" w:rsidRPr="006D7140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</w:pPr>
            <w:r w:rsidRPr="006D7140">
              <w:rPr>
                <w:rFonts w:ascii="Calibri" w:eastAsia="Times New Roman" w:hAnsi="Calibri"/>
                <w:b/>
                <w:bCs/>
                <w:sz w:val="18"/>
                <w:szCs w:val="18"/>
                <w:lang w:eastAsia="nb-NO"/>
              </w:rPr>
              <w:t>452.308.6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B" w:rsidRPr="00F10B3B" w:rsidRDefault="00F10B3B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highlight w:val="yellow"/>
                <w:lang w:eastAsia="nb-NO"/>
              </w:rPr>
            </w:pPr>
            <w:r w:rsidRPr="00F10B3B">
              <w:rPr>
                <w:rFonts w:ascii="Calibri" w:eastAsia="Times New Roman" w:hAnsi="Calibri"/>
                <w:b/>
                <w:bCs/>
                <w:color w:val="FF0000"/>
                <w:sz w:val="18"/>
                <w:szCs w:val="18"/>
                <w:highlight w:val="yellow"/>
                <w:lang w:eastAsia="nb-NO"/>
              </w:rPr>
              <w:t>431,606.9</w:t>
            </w:r>
          </w:p>
          <w:p w:rsidR="006D7140" w:rsidRPr="00F10B3B" w:rsidRDefault="006D7140" w:rsidP="00BD5821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highlight w:val="yellow"/>
                <w:lang w:eastAsia="nb-NO"/>
              </w:rPr>
            </w:pPr>
          </w:p>
        </w:tc>
      </w:tr>
    </w:tbl>
    <w:p w:rsidR="006D7140" w:rsidRPr="006D7140" w:rsidRDefault="006D7140" w:rsidP="00BD5821">
      <w:pPr>
        <w:jc w:val="center"/>
      </w:pPr>
    </w:p>
    <w:p w:rsidR="00016D62" w:rsidRPr="00016D62" w:rsidRDefault="00016D62" w:rsidP="00016D62">
      <w:pPr>
        <w:keepNext/>
        <w:spacing w:line="240" w:lineRule="auto"/>
        <w:contextualSpacing/>
        <w:jc w:val="left"/>
        <w:rPr>
          <w:rFonts w:eastAsia="Times New Roman"/>
          <w:b/>
          <w:bCs/>
          <w:i/>
          <w:iCs/>
          <w:sz w:val="24"/>
          <w:szCs w:val="24"/>
          <w:lang w:val="en-GB" w:eastAsia="en-GB"/>
        </w:rPr>
      </w:pPr>
      <w:r w:rsidRPr="00016D62">
        <w:rPr>
          <w:rFonts w:eastAsia="Times New Roman"/>
          <w:b/>
          <w:bCs/>
          <w:sz w:val="24"/>
          <w:szCs w:val="24"/>
          <w:lang w:val="en-GB" w:eastAsia="en-GB"/>
        </w:rPr>
        <w:t>Table II.3: HFC/blend consumption by refrigerant (in CO</w:t>
      </w:r>
      <w:r w:rsidRPr="00016D62">
        <w:rPr>
          <w:rFonts w:eastAsia="Times New Roman"/>
          <w:b/>
          <w:bCs/>
          <w:sz w:val="24"/>
          <w:szCs w:val="24"/>
          <w:vertAlign w:val="subscript"/>
          <w:lang w:val="en-GB" w:eastAsia="en-GB"/>
        </w:rPr>
        <w:t>2</w:t>
      </w:r>
      <w:r w:rsidRPr="00016D62">
        <w:rPr>
          <w:rFonts w:eastAsia="Times New Roman"/>
          <w:b/>
          <w:bCs/>
          <w:sz w:val="24"/>
          <w:szCs w:val="24"/>
          <w:lang w:val="en-GB" w:eastAsia="en-GB"/>
        </w:rPr>
        <w:t xml:space="preserve"> eq. tonnes)</w:t>
      </w:r>
    </w:p>
    <w:sectPr w:rsidR="00016D62" w:rsidRPr="0001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11"/>
    <w:rsid w:val="00016D62"/>
    <w:rsid w:val="00062494"/>
    <w:rsid w:val="002D0F73"/>
    <w:rsid w:val="003449D5"/>
    <w:rsid w:val="004C4911"/>
    <w:rsid w:val="005C5D79"/>
    <w:rsid w:val="00607A6A"/>
    <w:rsid w:val="006D7140"/>
    <w:rsid w:val="006E4CE3"/>
    <w:rsid w:val="009B5CDC"/>
    <w:rsid w:val="00A665F8"/>
    <w:rsid w:val="00AE3270"/>
    <w:rsid w:val="00B45417"/>
    <w:rsid w:val="00BD5821"/>
    <w:rsid w:val="00F10B3B"/>
    <w:rsid w:val="00F57497"/>
    <w:rsid w:val="00FB3DE6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257"/>
  <w15:chartTrackingRefBased/>
  <w15:docId w15:val="{CE93728F-53BC-4C19-9CE3-30C3EA56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D5"/>
    <w:pPr>
      <w:spacing w:after="0" w:line="276" w:lineRule="auto"/>
      <w:jc w:val="both"/>
    </w:pPr>
    <w:rPr>
      <w:rFonts w:ascii="Times New Roman" w:eastAsia="Calibri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51">
    <w:name w:val="Сетка таблицы151"/>
    <w:basedOn w:val="a1"/>
    <w:uiPriority w:val="39"/>
    <w:rsid w:val="003449D5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6D7140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2025-04-18T08:08:00Z</dcterms:created>
  <dcterms:modified xsi:type="dcterms:W3CDTF">2025-05-26T08:13:00Z</dcterms:modified>
</cp:coreProperties>
</file>